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6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75"/>
        <w:gridCol w:w="184"/>
        <w:gridCol w:w="184"/>
        <w:gridCol w:w="184"/>
        <w:gridCol w:w="184"/>
        <w:gridCol w:w="184"/>
        <w:gridCol w:w="184"/>
        <w:gridCol w:w="184"/>
        <w:gridCol w:w="19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08" w:hRule="atLeast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神农架林区人民医院派驻专家补助绩效目标自评表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9" w:hRule="atLeast"/>
        </w:trPr>
        <w:tc>
          <w:tcPr>
            <w:tcW w:w="7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（2021年度）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tbl>
      <w:tblPr>
        <w:tblW w:w="93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824"/>
        <w:gridCol w:w="2280"/>
        <w:gridCol w:w="1963"/>
        <w:gridCol w:w="911"/>
        <w:gridCol w:w="911"/>
        <w:gridCol w:w="9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46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神农架林区人民医院派驻专家补助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中央主管部门</w:t>
            </w:r>
          </w:p>
        </w:tc>
        <w:tc>
          <w:tcPr>
            <w:tcW w:w="46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地方主管部门</w:t>
            </w:r>
          </w:p>
        </w:tc>
        <w:tc>
          <w:tcPr>
            <w:tcW w:w="46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神农架林区卫生健康委员会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项目资金（万元）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全年预算数(A)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全年执行数(B)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执行率（B/A）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得分（30分）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其中：中央补助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地方资金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年度总体目标</w:t>
            </w:r>
          </w:p>
        </w:tc>
        <w:tc>
          <w:tcPr>
            <w:tcW w:w="7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建立和完善医疗救治水平，加强医疗急救能力整体提升。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目标名称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年度目标值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全年完成值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住院医师规范化总体评估合格率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提升业务收入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5%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1%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项目执行时限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入院三日确认率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80%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减少老百姓的就医困难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有所减少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有所减少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污染零发生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服务对象指标满意度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患者满意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专家所在单位满意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总得分</w:t>
            </w:r>
          </w:p>
        </w:tc>
        <w:tc>
          <w:tcPr>
            <w:tcW w:w="7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偏差大或目标未完成原因分析</w:t>
            </w:r>
          </w:p>
        </w:tc>
        <w:tc>
          <w:tcPr>
            <w:tcW w:w="7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年初绩效目标设定与执行略有偏差，绩效目标设立有不准确，未考虑相关影响因素。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改进措施及结果应用方案</w:t>
            </w:r>
          </w:p>
        </w:tc>
        <w:tc>
          <w:tcPr>
            <w:tcW w:w="7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在年初制定绩效目标时，充分考量相关影响因素，强化事前准备工作，完善指标体系建设。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说明</w:t>
            </w:r>
          </w:p>
        </w:tc>
        <w:tc>
          <w:tcPr>
            <w:tcW w:w="3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请在此处简要说明中央巡视、各级审计和财政督导中发现的问题及其所涉及的金额，如没有请填无。</w:t>
            </w:r>
          </w:p>
        </w:tc>
        <w:tc>
          <w:tcPr>
            <w:tcW w:w="46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注：1.其他资金包括中央补助、地方财政资金共同投入的自有资金、社会资金、以及以前年度的结转结余资金的等。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2.定量指标：资金使用单位填写本地区实际完成数，财政和主管部门汇总时，对绝对值直接累加计算，相对值按照资金额度加权平均计算。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3.定量指标根据指标完成情况分为：全部或基本达成预期指标，部分达成预期指标并具有一定效果，未达成预期指标且效果较差三档，分别按照100%-80%（含80%）、80%-60%（含）、60%-0%合理填写完成比例。</w:t>
            </w:r>
          </w:p>
        </w:tc>
      </w:tr>
    </w:tbl>
    <w:p>
      <w:pPr>
        <w:rPr>
          <w:sz w:val="18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Njk5MDkzZmNhMGY4ZDJkOTdlNzQzMTRlOTY5ZjkifQ=="/>
  </w:docVars>
  <w:rsids>
    <w:rsidRoot w:val="37DA642F"/>
    <w:rsid w:val="37DA642F"/>
    <w:rsid w:val="38B46A3B"/>
    <w:rsid w:val="5055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751</Characters>
  <Lines>0</Lines>
  <Paragraphs>0</Paragraphs>
  <TotalTime>2</TotalTime>
  <ScaleCrop>false</ScaleCrop>
  <LinksUpToDate>false</LinksUpToDate>
  <CharactersWithSpaces>753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2021-08-30T01:50:00Z</dcterms:created>
  <dc:creator>小小</dc:creator>
  <cp:lastModifiedBy>test</cp:lastModifiedBy>
  <dcterms:modified xsi:type="dcterms:W3CDTF">2022-08-29T01:49:58Z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23E39AABD96343E3997B03EB4EE6492A</vt:lpwstr>
  </property>
</Properties>
</file>